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780C0" w14:textId="77777777" w:rsidR="00C327B7" w:rsidRDefault="00C327B7" w:rsidP="00C327B7">
      <w:pPr>
        <w:spacing w:after="0"/>
        <w:jc w:val="center"/>
        <w:rPr>
          <w:rFonts w:ascii="Times New Roman" w:hAnsi="Times New Roman" w:cs="Times New Roman"/>
          <w:b/>
          <w:sz w:val="32"/>
          <w:lang w:val="en-US"/>
        </w:rPr>
      </w:pPr>
    </w:p>
    <w:p w14:paraId="63532847"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083D2687"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2CFBD0C0"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53842912"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102870C8"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7A7B68F1"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6B75DFE8"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241BB8F3" w14:textId="77777777" w:rsidR="00B80B2C" w:rsidRPr="00C66488" w:rsidRDefault="00B80B2C" w:rsidP="00B80B2C">
      <w:pPr>
        <w:spacing w:after="0" w:line="240" w:lineRule="auto"/>
        <w:jc w:val="both"/>
        <w:rPr>
          <w:rFonts w:ascii="Times New Roman" w:hAnsi="Times New Roman" w:cs="Times New Roman"/>
          <w:b/>
          <w:i/>
          <w:lang w:val="en-US"/>
        </w:rPr>
      </w:pPr>
    </w:p>
    <w:p w14:paraId="56930AE2" w14:textId="77777777" w:rsidR="00B80B2C" w:rsidRPr="00C66488" w:rsidRDefault="00B80B2C" w:rsidP="00B80B2C">
      <w:pPr>
        <w:spacing w:after="0" w:line="240" w:lineRule="auto"/>
        <w:jc w:val="both"/>
        <w:rPr>
          <w:rFonts w:ascii="Times New Roman" w:hAnsi="Times New Roman" w:cs="Times New Roman"/>
          <w:b/>
          <w:i/>
          <w:lang w:val="en-US"/>
        </w:rPr>
      </w:pPr>
    </w:p>
    <w:p w14:paraId="62155A50" w14:textId="77777777"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 xml:space="preserve">This document presents the formatting instructions for the Proceedings of </w:t>
      </w:r>
      <w:r w:rsidR="009260DF" w:rsidRPr="009260DF">
        <w:rPr>
          <w:rFonts w:ascii="Times New Roman" w:hAnsi="Times New Roman" w:cs="Times New Roman"/>
          <w:sz w:val="24"/>
          <w:lang w:val="en-US"/>
        </w:rPr>
        <w:t>Conference on Scientific and Academic Research</w:t>
      </w:r>
      <w:r w:rsidR="007F7949" w:rsidRPr="00C66488">
        <w:rPr>
          <w:rFonts w:ascii="Times New Roman" w:hAnsi="Times New Roman" w:cs="Times New Roman"/>
          <w:sz w:val="24"/>
          <w:lang w:val="en-US"/>
        </w:rPr>
        <w:t>. This document can serve as the base template for a Microsoft Word based typesetting system. The abstract should state briefly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6836A393" w14:textId="77777777" w:rsidR="00B80B2C" w:rsidRPr="00B80B2C" w:rsidRDefault="00B80B2C" w:rsidP="00B80B2C">
      <w:pPr>
        <w:spacing w:after="0"/>
        <w:jc w:val="both"/>
        <w:rPr>
          <w:rFonts w:ascii="Times New Roman" w:hAnsi="Times New Roman" w:cs="Times New Roman"/>
          <w:lang w:val="en-US"/>
        </w:rPr>
      </w:pPr>
    </w:p>
    <w:p w14:paraId="132E298E"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Include at least 5 keywords or phrases</w:t>
      </w:r>
    </w:p>
    <w:p w14:paraId="6CFCD652" w14:textId="77777777" w:rsidR="00B80B2C" w:rsidRPr="00B80B2C" w:rsidRDefault="00B80B2C" w:rsidP="00B80B2C">
      <w:pPr>
        <w:spacing w:after="0"/>
        <w:rPr>
          <w:rFonts w:ascii="Times New Roman" w:hAnsi="Times New Roman" w:cs="Times New Roman"/>
          <w:sz w:val="20"/>
          <w:lang w:val="en-US"/>
        </w:rPr>
      </w:pPr>
    </w:p>
    <w:p w14:paraId="3AB6E84C" w14:textId="77777777" w:rsidR="007F7949" w:rsidRDefault="007F7949" w:rsidP="00B80B2C">
      <w:pPr>
        <w:rPr>
          <w:rFonts w:ascii="Times New Roman" w:hAnsi="Times New Roman" w:cs="Times New Roman"/>
          <w:lang w:val="en-US"/>
        </w:rPr>
        <w:sectPr w:rsidR="007F7949" w:rsidSect="00E547B8">
          <w:headerReference w:type="even" r:id="rId7"/>
          <w:headerReference w:type="default" r:id="rId8"/>
          <w:footerReference w:type="even" r:id="rId9"/>
          <w:footerReference w:type="default" r:id="rId10"/>
          <w:headerReference w:type="first" r:id="rId11"/>
          <w:footerReference w:type="first" r:id="rId12"/>
          <w:pgSz w:w="11907" w:h="16840" w:code="9"/>
          <w:pgMar w:top="1373" w:right="851" w:bottom="851" w:left="851" w:header="709" w:footer="709" w:gutter="0"/>
          <w:cols w:space="708"/>
          <w:titlePg/>
          <w:docGrid w:linePitch="360"/>
        </w:sectPr>
      </w:pPr>
    </w:p>
    <w:p w14:paraId="15FA83A7" w14:textId="77777777" w:rsidR="007F7949" w:rsidRPr="00616F06" w:rsidRDefault="007F7949" w:rsidP="00C66488">
      <w:pPr>
        <w:pStyle w:val="IEEEHeading1"/>
        <w:jc w:val="left"/>
        <w:rPr>
          <w:sz w:val="24"/>
          <w:lang w:val="en-US"/>
        </w:rPr>
      </w:pPr>
      <w:r w:rsidRPr="00616F06">
        <w:rPr>
          <w:sz w:val="24"/>
          <w:lang w:val="en-US"/>
        </w:rPr>
        <w:t>Introduction</w:t>
      </w:r>
    </w:p>
    <w:p w14:paraId="4699618E" w14:textId="5844CC43"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0733C7">
        <w:rPr>
          <w:sz w:val="24"/>
          <w:lang w:val="en-US"/>
        </w:rPr>
        <w:t>SAR</w:t>
      </w:r>
      <w:r w:rsidRPr="00C66488">
        <w:rPr>
          <w:sz w:val="24"/>
          <w:lang w:val="en-US"/>
        </w:rPr>
        <w:t xml:space="preserve">. It can be downloaded from the conference website, and used as a reference in the typesetting of the final paper to be included in the conference proceedings. Extra information regarding the submission procedure is available at the conference website. Any question regarding the template or paper guidelines must be directed to </w:t>
      </w:r>
      <w:r w:rsidR="009763B7">
        <w:rPr>
          <w:rStyle w:val="Kpr"/>
          <w:i/>
          <w:iCs/>
          <w:sz w:val="24"/>
        </w:rPr>
        <w:t>allsciencesacademy@gmail.com</w:t>
      </w:r>
      <w:r w:rsidR="001450D1">
        <w:rPr>
          <w:rStyle w:val="Kpr"/>
          <w:i/>
          <w:iCs/>
          <w:sz w:val="24"/>
          <w:lang w:val="en-US"/>
        </w:rPr>
        <w:t>.</w:t>
      </w:r>
    </w:p>
    <w:p w14:paraId="05404DCB" w14:textId="77777777" w:rsidR="007F7949" w:rsidRPr="00C66488" w:rsidRDefault="00E547B8" w:rsidP="00C66488">
      <w:pPr>
        <w:pStyle w:val="IEEEHeading1"/>
        <w:jc w:val="left"/>
        <w:rPr>
          <w:sz w:val="24"/>
        </w:rPr>
      </w:pPr>
      <w:r w:rsidRPr="00C66488">
        <w:rPr>
          <w:sz w:val="24"/>
        </w:rPr>
        <w:t>Materials and Method</w:t>
      </w:r>
    </w:p>
    <w:p w14:paraId="0EF529FC"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6E5855BA" w14:textId="77777777" w:rsidR="007F7949" w:rsidRPr="00C66488" w:rsidRDefault="00B757B4" w:rsidP="007F7949">
      <w:pPr>
        <w:pStyle w:val="IEEEHeading2"/>
        <w:numPr>
          <w:ilvl w:val="0"/>
          <w:numId w:val="3"/>
        </w:numPr>
        <w:rPr>
          <w:sz w:val="24"/>
        </w:rPr>
      </w:pPr>
      <w:r w:rsidRPr="00C66488">
        <w:rPr>
          <w:sz w:val="24"/>
        </w:rPr>
        <w:t>Level-2 Heading</w:t>
      </w:r>
    </w:p>
    <w:p w14:paraId="4DDDAEB7"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4C847CEB" w14:textId="77777777" w:rsidR="00B757B4" w:rsidRPr="00C66488" w:rsidRDefault="00B757B4" w:rsidP="00B757B4">
      <w:pPr>
        <w:pStyle w:val="IEEEHeading2"/>
        <w:rPr>
          <w:sz w:val="24"/>
          <w:lang w:val="en-GB"/>
        </w:rPr>
      </w:pPr>
      <w:r w:rsidRPr="00C66488">
        <w:rPr>
          <w:sz w:val="24"/>
          <w:lang w:val="en-GB"/>
        </w:rPr>
        <w:t>Figures and Tables</w:t>
      </w:r>
    </w:p>
    <w:p w14:paraId="11B9266E" w14:textId="77777777" w:rsidR="00B757B4" w:rsidRPr="00C66488" w:rsidRDefault="00B757B4" w:rsidP="00B757B4">
      <w:pPr>
        <w:pStyle w:val="IEEEParagraph"/>
        <w:ind w:firstLine="170"/>
        <w:rPr>
          <w:sz w:val="24"/>
          <w:lang w:val="en-GB"/>
        </w:rPr>
      </w:pPr>
      <w:r w:rsidRPr="00C66488">
        <w:rPr>
          <w:sz w:val="24"/>
          <w:lang w:val="en-GB"/>
        </w:rPr>
        <w:t>Figures and tables must be centered in the column.  Large figures and tables may span across both columns.  Any table or figure that takes up more than 1 column width must be positioned either at the top or at the bottom of the page.</w:t>
      </w:r>
    </w:p>
    <w:p w14:paraId="07040263" w14:textId="77777777" w:rsidR="00B757B4" w:rsidRDefault="00B757B4" w:rsidP="00B757B4">
      <w:pPr>
        <w:pStyle w:val="IEEEParagraph"/>
        <w:ind w:firstLine="170"/>
        <w:rPr>
          <w:lang w:val="en-GB"/>
        </w:rPr>
      </w:pPr>
      <w:r>
        <w:rPr>
          <w:lang w:val="en-GB"/>
        </w:rPr>
        <w:t>.</w:t>
      </w:r>
    </w:p>
    <w:p w14:paraId="3FDC3AD3" w14:textId="77777777" w:rsidR="00B757B4" w:rsidRDefault="000733C7" w:rsidP="00B757B4">
      <w:pPr>
        <w:pStyle w:val="IEEEFigure"/>
      </w:pPr>
      <w:r w:rsidRPr="000733C7">
        <w:rPr>
          <w:noProof/>
          <w:lang w:val="tr-TR" w:eastAsia="tr-TR"/>
        </w:rPr>
        <w:drawing>
          <wp:inline distT="0" distB="0" distL="0" distR="0" wp14:anchorId="1FA98BF8" wp14:editId="466B7EF6">
            <wp:extent cx="1158240" cy="1051560"/>
            <wp:effectExtent l="0" t="0" r="3810" b="0"/>
            <wp:docPr id="3" name="Resim 3" descr="D:\konferanslar\ICSA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SAR\logo.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8240" cy="1051560"/>
                    </a:xfrm>
                    <a:prstGeom prst="rect">
                      <a:avLst/>
                    </a:prstGeom>
                    <a:noFill/>
                    <a:ln>
                      <a:noFill/>
                    </a:ln>
                  </pic:spPr>
                </pic:pic>
              </a:graphicData>
            </a:graphic>
          </wp:inline>
        </w:drawing>
      </w:r>
    </w:p>
    <w:p w14:paraId="7EC98697"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143D5C2C"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1105CDA4" w14:textId="77777777" w:rsidR="00A443BC" w:rsidRDefault="00A443BC" w:rsidP="00A443BC">
      <w:pPr>
        <w:pStyle w:val="IEEEFigureCaptionSingle-Line"/>
      </w:pPr>
    </w:p>
    <w:p w14:paraId="26AED543" w14:textId="77777777" w:rsidR="00A443BC" w:rsidRPr="00C66488" w:rsidRDefault="00A443BC" w:rsidP="00A443BC">
      <w:pPr>
        <w:pStyle w:val="IEEEFigureCaptionSingle-Line"/>
        <w:rPr>
          <w:sz w:val="20"/>
        </w:rPr>
      </w:pPr>
      <w:r w:rsidRPr="00C66488">
        <w:rPr>
          <w:sz w:val="20"/>
        </w:rPr>
        <w:t>Table 1. Example of a table</w:t>
      </w:r>
    </w:p>
    <w:tbl>
      <w:tblPr>
        <w:tblW w:w="47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30D2D18E" w14:textId="77777777" w:rsidTr="009153B0">
        <w:tc>
          <w:tcPr>
            <w:tcW w:w="1588" w:type="dxa"/>
            <w:vAlign w:val="center"/>
          </w:tcPr>
          <w:p w14:paraId="1C382629"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311CBCED"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36889542"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198D6618" w14:textId="77777777" w:rsidTr="009153B0">
        <w:tc>
          <w:tcPr>
            <w:tcW w:w="1588" w:type="dxa"/>
            <w:vAlign w:val="center"/>
          </w:tcPr>
          <w:p w14:paraId="22BE007E"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6E259552"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32DE69CB"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02B83306" w14:textId="77777777" w:rsidTr="009153B0">
        <w:tc>
          <w:tcPr>
            <w:tcW w:w="1588" w:type="dxa"/>
            <w:vAlign w:val="center"/>
          </w:tcPr>
          <w:p w14:paraId="609255EC" w14:textId="77777777" w:rsidR="00A443BC" w:rsidRPr="00C66488" w:rsidRDefault="00A443BC" w:rsidP="009153B0">
            <w:pPr>
              <w:pStyle w:val="IEEEParagraph"/>
              <w:ind w:firstLine="0"/>
              <w:jc w:val="center"/>
              <w:rPr>
                <w:sz w:val="22"/>
              </w:rPr>
            </w:pPr>
          </w:p>
        </w:tc>
        <w:tc>
          <w:tcPr>
            <w:tcW w:w="1134" w:type="dxa"/>
            <w:vAlign w:val="center"/>
          </w:tcPr>
          <w:p w14:paraId="68F72935" w14:textId="77777777" w:rsidR="00A443BC" w:rsidRPr="00C66488" w:rsidRDefault="00A443BC" w:rsidP="009153B0">
            <w:pPr>
              <w:pStyle w:val="IEEEParagraph"/>
              <w:ind w:firstLine="0"/>
              <w:jc w:val="center"/>
              <w:rPr>
                <w:sz w:val="22"/>
              </w:rPr>
            </w:pPr>
          </w:p>
        </w:tc>
        <w:tc>
          <w:tcPr>
            <w:tcW w:w="1985" w:type="dxa"/>
            <w:vAlign w:val="center"/>
          </w:tcPr>
          <w:p w14:paraId="6CF4B45D" w14:textId="77777777" w:rsidR="00A443BC" w:rsidRPr="00C66488" w:rsidRDefault="00A443BC" w:rsidP="009153B0">
            <w:pPr>
              <w:pStyle w:val="IEEEParagraph"/>
              <w:ind w:firstLine="0"/>
              <w:jc w:val="center"/>
              <w:rPr>
                <w:sz w:val="22"/>
              </w:rPr>
            </w:pPr>
          </w:p>
        </w:tc>
      </w:tr>
      <w:tr w:rsidR="00A443BC" w14:paraId="5B0B2942" w14:textId="77777777" w:rsidTr="009153B0">
        <w:tc>
          <w:tcPr>
            <w:tcW w:w="1588" w:type="dxa"/>
            <w:vAlign w:val="center"/>
          </w:tcPr>
          <w:p w14:paraId="6F8A1B8F" w14:textId="77777777" w:rsidR="00A443BC" w:rsidRPr="006566CF" w:rsidRDefault="00A443BC" w:rsidP="009153B0">
            <w:pPr>
              <w:pStyle w:val="IEEEParagraph"/>
              <w:ind w:firstLine="0"/>
              <w:jc w:val="center"/>
              <w:rPr>
                <w:sz w:val="18"/>
              </w:rPr>
            </w:pPr>
          </w:p>
        </w:tc>
        <w:tc>
          <w:tcPr>
            <w:tcW w:w="1134" w:type="dxa"/>
            <w:vAlign w:val="center"/>
          </w:tcPr>
          <w:p w14:paraId="20502780" w14:textId="77777777" w:rsidR="00A443BC" w:rsidRPr="006566CF" w:rsidRDefault="00A443BC" w:rsidP="009153B0">
            <w:pPr>
              <w:pStyle w:val="IEEEParagraph"/>
              <w:ind w:firstLine="0"/>
              <w:jc w:val="center"/>
              <w:rPr>
                <w:sz w:val="18"/>
              </w:rPr>
            </w:pPr>
          </w:p>
        </w:tc>
        <w:tc>
          <w:tcPr>
            <w:tcW w:w="1985" w:type="dxa"/>
            <w:vAlign w:val="center"/>
          </w:tcPr>
          <w:p w14:paraId="3E082F4B" w14:textId="77777777" w:rsidR="00A443BC" w:rsidRPr="006566CF" w:rsidRDefault="00A443BC" w:rsidP="009153B0">
            <w:pPr>
              <w:pStyle w:val="IEEEParagraph"/>
              <w:ind w:firstLine="0"/>
              <w:jc w:val="center"/>
              <w:rPr>
                <w:sz w:val="18"/>
              </w:rPr>
            </w:pPr>
          </w:p>
        </w:tc>
      </w:tr>
      <w:tr w:rsidR="00A443BC" w14:paraId="0737439B" w14:textId="77777777" w:rsidTr="009153B0">
        <w:tc>
          <w:tcPr>
            <w:tcW w:w="1588" w:type="dxa"/>
            <w:vAlign w:val="center"/>
          </w:tcPr>
          <w:p w14:paraId="563AC116" w14:textId="77777777" w:rsidR="00A443BC" w:rsidRPr="006566CF" w:rsidRDefault="00A443BC" w:rsidP="009153B0">
            <w:pPr>
              <w:pStyle w:val="IEEEParagraph"/>
              <w:ind w:firstLine="0"/>
              <w:jc w:val="center"/>
              <w:rPr>
                <w:sz w:val="18"/>
              </w:rPr>
            </w:pPr>
          </w:p>
        </w:tc>
        <w:tc>
          <w:tcPr>
            <w:tcW w:w="1134" w:type="dxa"/>
            <w:vAlign w:val="center"/>
          </w:tcPr>
          <w:p w14:paraId="270E495A" w14:textId="77777777" w:rsidR="00A443BC" w:rsidRPr="006566CF" w:rsidRDefault="00A443BC" w:rsidP="009153B0">
            <w:pPr>
              <w:pStyle w:val="IEEEParagraph"/>
              <w:ind w:firstLine="0"/>
              <w:jc w:val="center"/>
              <w:rPr>
                <w:sz w:val="18"/>
              </w:rPr>
            </w:pPr>
          </w:p>
        </w:tc>
        <w:tc>
          <w:tcPr>
            <w:tcW w:w="1985" w:type="dxa"/>
            <w:vAlign w:val="center"/>
          </w:tcPr>
          <w:p w14:paraId="6A20CBCC" w14:textId="77777777" w:rsidR="00A443BC" w:rsidRPr="006566CF" w:rsidRDefault="00A443BC" w:rsidP="009153B0">
            <w:pPr>
              <w:pStyle w:val="IEEEParagraph"/>
              <w:ind w:firstLine="0"/>
              <w:jc w:val="center"/>
              <w:rPr>
                <w:sz w:val="18"/>
              </w:rPr>
            </w:pPr>
          </w:p>
        </w:tc>
      </w:tr>
    </w:tbl>
    <w:p w14:paraId="6E293366" w14:textId="77777777" w:rsidR="00B757B4" w:rsidRDefault="00B757B4" w:rsidP="000C3D46">
      <w:pPr>
        <w:pStyle w:val="IEEEParagraph"/>
        <w:ind w:firstLine="170"/>
      </w:pPr>
    </w:p>
    <w:p w14:paraId="3DA5C2B2" w14:textId="77777777" w:rsidR="008D1C18" w:rsidRDefault="008D1C18" w:rsidP="000C3D46">
      <w:pPr>
        <w:pStyle w:val="IEEEParagraph"/>
        <w:ind w:firstLine="170"/>
      </w:pPr>
    </w:p>
    <w:p w14:paraId="1B2AFD35" w14:textId="77777777" w:rsidR="00A443BC" w:rsidRPr="00C66488" w:rsidRDefault="00A443BC" w:rsidP="00A443BC">
      <w:pPr>
        <w:pStyle w:val="IEEEHeading2"/>
        <w:rPr>
          <w:sz w:val="24"/>
        </w:rPr>
      </w:pPr>
      <w:r w:rsidRPr="00C66488">
        <w:rPr>
          <w:sz w:val="24"/>
        </w:rPr>
        <w:t>Page Numbers, Headers and Footers</w:t>
      </w:r>
    </w:p>
    <w:p w14:paraId="5B40AC39" w14:textId="77777777" w:rsidR="00A443BC" w:rsidRPr="00C66488" w:rsidRDefault="00A443BC" w:rsidP="00A443BC">
      <w:pPr>
        <w:pStyle w:val="IEEEParagraph"/>
        <w:ind w:firstLine="170"/>
        <w:rPr>
          <w:sz w:val="24"/>
        </w:rPr>
      </w:pPr>
      <w:r w:rsidRPr="00C66488">
        <w:rPr>
          <w:sz w:val="24"/>
        </w:rPr>
        <w:t>Page numbers, headers and footers must not be used.</w:t>
      </w:r>
    </w:p>
    <w:p w14:paraId="5B1BFBF8" w14:textId="77777777" w:rsidR="00A443BC" w:rsidRPr="00C66488" w:rsidRDefault="00A443BC" w:rsidP="00A443BC">
      <w:pPr>
        <w:pStyle w:val="IEEEHeading2"/>
        <w:ind w:left="289" w:hanging="289"/>
        <w:rPr>
          <w:sz w:val="24"/>
        </w:rPr>
      </w:pPr>
      <w:r w:rsidRPr="00C66488">
        <w:rPr>
          <w:sz w:val="24"/>
        </w:rPr>
        <w:t>References</w:t>
      </w:r>
    </w:p>
    <w:p w14:paraId="5B9E3D32"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609E9AC7" w14:textId="77777777" w:rsidR="00A443BC" w:rsidRPr="00C66488" w:rsidRDefault="00A443BC" w:rsidP="00A443BC">
      <w:pPr>
        <w:pStyle w:val="IEEEParagraph"/>
        <w:rPr>
          <w:sz w:val="24"/>
          <w:lang w:val="en-GB"/>
        </w:rPr>
      </w:pPr>
      <w:r w:rsidRPr="00C66488">
        <w:rPr>
          <w:sz w:val="24"/>
          <w:lang w:val="en-GB"/>
        </w:rPr>
        <w:lastRenderedPageBreak/>
        <w:t>When referring to a reference item, please simply use the reference number, as in [2].  Do not use “Ref. [3]” or “Reference [3]” except at the beginning of a sentence, e.g.  “Reference [3] shows …”.  Multiple references are each numbered with separate brackets (e.g. [2], [3], [4]–[6]).</w:t>
      </w:r>
    </w:p>
    <w:p w14:paraId="3FA4A88C"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2AE2DE0C"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5C6D4E5F"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68646E72"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6FEE06BE"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1985A67B" w14:textId="77777777" w:rsidR="00A443BC" w:rsidRPr="00C66488" w:rsidRDefault="00A443BC" w:rsidP="00A443BC">
      <w:pPr>
        <w:pStyle w:val="IEEEParagraph"/>
        <w:numPr>
          <w:ilvl w:val="0"/>
          <w:numId w:val="5"/>
        </w:numPr>
        <w:rPr>
          <w:sz w:val="24"/>
        </w:rPr>
      </w:pPr>
      <w:r w:rsidRPr="00C66488">
        <w:rPr>
          <w:sz w:val="24"/>
        </w:rPr>
        <w:t>example of a patent in [5]</w:t>
      </w:r>
    </w:p>
    <w:p w14:paraId="37506F1C" w14:textId="77777777" w:rsidR="00A443BC" w:rsidRPr="00C66488" w:rsidRDefault="00A443BC" w:rsidP="00A443BC">
      <w:pPr>
        <w:pStyle w:val="IEEEParagraph"/>
        <w:numPr>
          <w:ilvl w:val="0"/>
          <w:numId w:val="5"/>
        </w:numPr>
        <w:rPr>
          <w:sz w:val="24"/>
        </w:rPr>
      </w:pPr>
      <w:r w:rsidRPr="00C66488">
        <w:rPr>
          <w:sz w:val="24"/>
        </w:rPr>
        <w:t>example of a website in [6]</w:t>
      </w:r>
    </w:p>
    <w:p w14:paraId="23C36861" w14:textId="77777777" w:rsidR="00A443BC" w:rsidRPr="00C66488" w:rsidRDefault="00A443BC" w:rsidP="00A443BC">
      <w:pPr>
        <w:pStyle w:val="IEEEParagraph"/>
        <w:numPr>
          <w:ilvl w:val="0"/>
          <w:numId w:val="5"/>
        </w:numPr>
        <w:rPr>
          <w:sz w:val="24"/>
        </w:rPr>
      </w:pPr>
      <w:r w:rsidRPr="00C66488">
        <w:rPr>
          <w:sz w:val="24"/>
        </w:rPr>
        <w:t>example of a web page in [7]</w:t>
      </w:r>
    </w:p>
    <w:p w14:paraId="1A881799" w14:textId="77777777" w:rsidR="00A443BC" w:rsidRPr="00C66488" w:rsidRDefault="00A443BC" w:rsidP="00A443BC">
      <w:pPr>
        <w:pStyle w:val="IEEEParagraph"/>
        <w:numPr>
          <w:ilvl w:val="0"/>
          <w:numId w:val="5"/>
        </w:numPr>
        <w:rPr>
          <w:sz w:val="24"/>
        </w:rPr>
      </w:pPr>
      <w:r w:rsidRPr="00C66488">
        <w:rPr>
          <w:sz w:val="24"/>
        </w:rPr>
        <w:t>example of a databook as a manual in [8]</w:t>
      </w:r>
    </w:p>
    <w:p w14:paraId="71FE118F" w14:textId="77777777" w:rsidR="00A443BC" w:rsidRPr="00C66488" w:rsidRDefault="00A443BC" w:rsidP="00A443BC">
      <w:pPr>
        <w:pStyle w:val="IEEEParagraph"/>
        <w:numPr>
          <w:ilvl w:val="0"/>
          <w:numId w:val="5"/>
        </w:numPr>
        <w:rPr>
          <w:sz w:val="24"/>
        </w:rPr>
      </w:pPr>
      <w:r w:rsidRPr="00C66488">
        <w:rPr>
          <w:sz w:val="24"/>
        </w:rPr>
        <w:t>example of a datasheet in [9]</w:t>
      </w:r>
    </w:p>
    <w:p w14:paraId="3AF49801"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54783E58"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23FCA9F6" w14:textId="77777777" w:rsidR="00A443BC" w:rsidRPr="00C66488" w:rsidRDefault="00A443BC" w:rsidP="00A443BC">
      <w:pPr>
        <w:pStyle w:val="IEEEParagraph"/>
        <w:numPr>
          <w:ilvl w:val="0"/>
          <w:numId w:val="5"/>
        </w:numPr>
        <w:rPr>
          <w:sz w:val="24"/>
        </w:rPr>
      </w:pPr>
      <w:r w:rsidRPr="00C66488">
        <w:rPr>
          <w:sz w:val="24"/>
        </w:rPr>
        <w:t>example of a standard in [12]</w:t>
      </w:r>
    </w:p>
    <w:p w14:paraId="2F10FCBD" w14:textId="77777777" w:rsidR="00B757B4" w:rsidRPr="00C66488" w:rsidRDefault="00B757B4" w:rsidP="00C66488">
      <w:pPr>
        <w:pStyle w:val="IEEEHeading1"/>
        <w:jc w:val="left"/>
        <w:rPr>
          <w:sz w:val="24"/>
        </w:rPr>
      </w:pPr>
      <w:r w:rsidRPr="00C66488">
        <w:rPr>
          <w:sz w:val="24"/>
        </w:rPr>
        <w:t>Results</w:t>
      </w:r>
    </w:p>
    <w:p w14:paraId="39BCA53E" w14:textId="77777777" w:rsidR="00B757B4" w:rsidRPr="00C66488"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151C1969" w14:textId="77777777" w:rsidR="00B757B4" w:rsidRPr="00C66488" w:rsidRDefault="00B757B4" w:rsidP="00C66488">
      <w:pPr>
        <w:pStyle w:val="IEEEHeading1"/>
        <w:jc w:val="left"/>
        <w:rPr>
          <w:sz w:val="24"/>
        </w:rPr>
      </w:pPr>
      <w:r w:rsidRPr="00C66488">
        <w:rPr>
          <w:sz w:val="24"/>
        </w:rPr>
        <w:t>DISCUSSION</w:t>
      </w:r>
    </w:p>
    <w:p w14:paraId="72079B78"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28E451FE" w14:textId="77777777" w:rsidR="00B757B4" w:rsidRPr="00C66488" w:rsidRDefault="00B757B4" w:rsidP="00C66488">
      <w:pPr>
        <w:pStyle w:val="IEEEHeading1"/>
        <w:jc w:val="left"/>
        <w:rPr>
          <w:sz w:val="24"/>
        </w:rPr>
      </w:pPr>
      <w:r w:rsidRPr="00C66488">
        <w:rPr>
          <w:sz w:val="24"/>
        </w:rPr>
        <w:t>CONCLUSION</w:t>
      </w:r>
    </w:p>
    <w:p w14:paraId="5A2A3971"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20EA786C"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5E1A8EF0"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3BEA86DF" w14:textId="77777777" w:rsidR="004C090F" w:rsidRDefault="004C090F" w:rsidP="00C66488">
      <w:pPr>
        <w:pStyle w:val="IEEEHeading1"/>
        <w:numPr>
          <w:ilvl w:val="0"/>
          <w:numId w:val="0"/>
        </w:numPr>
        <w:jc w:val="left"/>
        <w:rPr>
          <w:sz w:val="24"/>
        </w:rPr>
      </w:pPr>
      <w:r w:rsidRPr="00C66488">
        <w:rPr>
          <w:sz w:val="24"/>
        </w:rPr>
        <w:t>References</w:t>
      </w:r>
    </w:p>
    <w:p w14:paraId="2F44F241" w14:textId="77777777" w:rsidR="00C66488" w:rsidRPr="00C66488" w:rsidRDefault="00C66488" w:rsidP="00C66488">
      <w:pPr>
        <w:pStyle w:val="IEEEParagraph"/>
        <w:rPr>
          <w:sz w:val="24"/>
        </w:rPr>
      </w:pPr>
    </w:p>
    <w:p w14:paraId="030E67E8" w14:textId="77777777" w:rsidR="004C090F" w:rsidRPr="00C66488" w:rsidRDefault="004C090F" w:rsidP="004C090F">
      <w:pPr>
        <w:pStyle w:val="IEEEReferenceItem"/>
        <w:rPr>
          <w:sz w:val="20"/>
        </w:rPr>
      </w:pPr>
      <w:r w:rsidRPr="00C66488">
        <w:rPr>
          <w:sz w:val="20"/>
          <w:lang w:val="en-AU"/>
        </w:rPr>
        <w:t xml:space="preserve">S. M. Metev and V. P. Veiko,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5AB4DCE9"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678BC83C"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788DA4B9" w14:textId="77777777" w:rsidR="004C090F" w:rsidRPr="00C66488" w:rsidRDefault="004C090F" w:rsidP="004C090F">
      <w:pPr>
        <w:pStyle w:val="IEEEReferenceItem"/>
        <w:rPr>
          <w:sz w:val="20"/>
        </w:rPr>
      </w:pPr>
      <w:r w:rsidRPr="00C66488">
        <w:rPr>
          <w:sz w:val="20"/>
        </w:rPr>
        <w:t xml:space="preserve">M. Wegmuller, J. P. von der Weid, P. Oberson, and N. Gisin, “High resolution fiber distributed measurements with coherent OFDR,” in </w:t>
      </w:r>
      <w:r w:rsidRPr="00C66488">
        <w:rPr>
          <w:i/>
          <w:iCs/>
          <w:sz w:val="20"/>
        </w:rPr>
        <w:t>Proc. ECOC’00</w:t>
      </w:r>
      <w:r w:rsidRPr="00C66488">
        <w:rPr>
          <w:sz w:val="20"/>
        </w:rPr>
        <w:t>, 2000, paper 11.3.4, p. 109.</w:t>
      </w:r>
    </w:p>
    <w:p w14:paraId="6CF541DE"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17ECDACF"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74930619" w14:textId="77777777" w:rsidR="004C090F" w:rsidRPr="00C66488" w:rsidRDefault="004C090F" w:rsidP="004C090F">
      <w:pPr>
        <w:pStyle w:val="IEEEReferenceItem"/>
        <w:rPr>
          <w:sz w:val="20"/>
          <w:lang w:val="en-AU"/>
        </w:rPr>
      </w:pPr>
      <w:r w:rsidRPr="00C66488">
        <w:rPr>
          <w:sz w:val="20"/>
          <w:lang w:val="en-AU"/>
        </w:rPr>
        <w:t xml:space="preserve">M. Shell. (2002) IEEEtran homepage on CTAN. </w:t>
      </w:r>
      <w:r w:rsidRPr="00C66488">
        <w:rPr>
          <w:sz w:val="20"/>
        </w:rPr>
        <w:t>[Online]. Available: http://www.ctan.org/tex-archive/</w:t>
      </w:r>
      <w:r w:rsidRPr="00C66488">
        <w:rPr>
          <w:sz w:val="20"/>
          <w:lang w:val="en-AU"/>
        </w:rPr>
        <w:t>macros/latex/contrib/supported/IEEEtran/</w:t>
      </w:r>
    </w:p>
    <w:p w14:paraId="475DD130" w14:textId="77777777" w:rsidR="004C090F" w:rsidRPr="00C66488" w:rsidRDefault="004C090F" w:rsidP="004C090F">
      <w:pPr>
        <w:pStyle w:val="IEEEReferenceItem"/>
        <w:rPr>
          <w:sz w:val="20"/>
          <w:lang w:val="en-AU"/>
        </w:rPr>
      </w:pPr>
      <w:r w:rsidRPr="00C66488">
        <w:rPr>
          <w:i/>
          <w:iCs/>
          <w:sz w:val="20"/>
          <w:lang w:val="en-AU"/>
        </w:rPr>
        <w:t>FLEXChip Signal Processor (MC68175/D)</w:t>
      </w:r>
      <w:r w:rsidRPr="00C66488">
        <w:rPr>
          <w:sz w:val="20"/>
          <w:lang w:val="en-AU"/>
        </w:rPr>
        <w:t>, Motorola, 1996.</w:t>
      </w:r>
    </w:p>
    <w:p w14:paraId="752EEBB0" w14:textId="77777777" w:rsidR="004C090F" w:rsidRPr="00C66488" w:rsidRDefault="004C090F" w:rsidP="004C090F">
      <w:pPr>
        <w:pStyle w:val="IEEEReferenceItem"/>
        <w:rPr>
          <w:sz w:val="20"/>
          <w:lang w:val="en-AU"/>
        </w:rPr>
      </w:pPr>
      <w:r w:rsidRPr="00C66488">
        <w:rPr>
          <w:sz w:val="20"/>
          <w:lang w:val="en-AU"/>
        </w:rPr>
        <w:t>“PDCA12-70 data sheet,” Opto Speed SA, Mezzovico, Switzerland.</w:t>
      </w:r>
    </w:p>
    <w:p w14:paraId="2414A332"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46C56A23" w14:textId="77777777" w:rsidR="004C090F" w:rsidRPr="00C66488" w:rsidRDefault="004C090F" w:rsidP="004C090F">
      <w:pPr>
        <w:pStyle w:val="IEEEReferenceItem"/>
        <w:rPr>
          <w:sz w:val="20"/>
        </w:rPr>
      </w:pPr>
      <w:r w:rsidRPr="00C66488">
        <w:rPr>
          <w:sz w:val="20"/>
        </w:rPr>
        <w:t xml:space="preserve">J. Padhye, V. Firoiu,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1E85AAAA"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08F10F75" w14:textId="77777777" w:rsidR="007F7949" w:rsidRPr="007F7949" w:rsidRDefault="007F7949" w:rsidP="007F7949">
      <w:pPr>
        <w:pStyle w:val="IEEEParagraph"/>
        <w:rPr>
          <w:lang w:val="en-US"/>
        </w:rPr>
      </w:pPr>
    </w:p>
    <w:p w14:paraId="22EAAADC" w14:textId="77777777" w:rsidR="007F7949" w:rsidRDefault="007F7949" w:rsidP="00B80B2C">
      <w:pPr>
        <w:rPr>
          <w:rFonts w:ascii="Times New Roman" w:hAnsi="Times New Roman" w:cs="Times New Roman"/>
          <w:lang w:val="en-US"/>
        </w:rPr>
      </w:pPr>
    </w:p>
    <w:sectPr w:rsidR="007F7949" w:rsidSect="004C090F">
      <w:headerReference w:type="default" r:id="rId14"/>
      <w:type w:val="continuous"/>
      <w:pgSz w:w="11907" w:h="16840" w:code="9"/>
      <w:pgMar w:top="1373" w:right="851" w:bottom="851" w:left="851" w:header="709" w:footer="709"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A6A5" w14:textId="77777777" w:rsidR="00F2428A" w:rsidRDefault="00F2428A" w:rsidP="00B80B2C">
      <w:pPr>
        <w:spacing w:after="0" w:line="240" w:lineRule="auto"/>
      </w:pPr>
      <w:r>
        <w:separator/>
      </w:r>
    </w:p>
  </w:endnote>
  <w:endnote w:type="continuationSeparator" w:id="0">
    <w:p w14:paraId="62B62D17" w14:textId="77777777" w:rsidR="00F2428A" w:rsidRDefault="00F2428A"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98CF6" w14:textId="77777777" w:rsidR="00AC3D39" w:rsidRDefault="00AC3D3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C24C2" w14:textId="77777777" w:rsidR="00AC3D39" w:rsidRDefault="00AC3D3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2F72B"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9B431" w14:textId="77777777" w:rsidR="00F2428A" w:rsidRDefault="00F2428A" w:rsidP="00B80B2C">
      <w:pPr>
        <w:spacing w:after="0" w:line="240" w:lineRule="auto"/>
      </w:pPr>
      <w:r>
        <w:separator/>
      </w:r>
    </w:p>
  </w:footnote>
  <w:footnote w:type="continuationSeparator" w:id="0">
    <w:p w14:paraId="1F1B8861" w14:textId="77777777" w:rsidR="00F2428A" w:rsidRDefault="00F2428A"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858B" w14:textId="77777777" w:rsidR="00AC3D39" w:rsidRDefault="00AC3D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21376" w14:textId="77777777" w:rsidR="00B80B2C" w:rsidRPr="00E03D4C" w:rsidRDefault="00B80B2C" w:rsidP="00E03D4C">
    <w:pPr>
      <w:pStyle w:val="stBilgi"/>
      <w:pBdr>
        <w:bottom w:val="single" w:sz="4" w:space="1" w:color="auto"/>
      </w:pBdr>
      <w:jc w:val="center"/>
      <w:rPr>
        <w:rFonts w:ascii="Times New Roman" w:hAnsi="Times New Roman" w:cs="Times New Roman"/>
        <w:i/>
        <w:sz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7"/>
      <w:gridCol w:w="5288"/>
      <w:gridCol w:w="2196"/>
    </w:tblGrid>
    <w:tr w:rsidR="0037771B" w14:paraId="10D7DBEB" w14:textId="77777777" w:rsidTr="00B553B8">
      <w:trPr>
        <w:trHeight w:val="1131"/>
      </w:trPr>
      <w:tc>
        <w:tcPr>
          <w:tcW w:w="2940" w:type="dxa"/>
          <w:vMerge w:val="restart"/>
          <w:tcBorders>
            <w:top w:val="single" w:sz="4" w:space="0" w:color="auto"/>
          </w:tcBorders>
        </w:tcPr>
        <w:p w14:paraId="31A5D653" w14:textId="77777777" w:rsidR="0037771B" w:rsidRPr="00944D00" w:rsidRDefault="0037771B" w:rsidP="0037771B">
          <w:pPr>
            <w:pStyle w:val="stBilgi"/>
            <w:jc w:val="center"/>
            <w:rPr>
              <w:sz w:val="10"/>
            </w:rPr>
          </w:pPr>
          <w:bookmarkStart w:id="0" w:name="_Hlk152857329"/>
          <w:r>
            <w:rPr>
              <w:noProof/>
            </w:rPr>
            <w:drawing>
              <wp:inline distT="0" distB="0" distL="0" distR="0" wp14:anchorId="5FF25DB8" wp14:editId="70024CD5">
                <wp:extent cx="1661160" cy="883920"/>
                <wp:effectExtent l="0" t="0" r="0" b="0"/>
                <wp:docPr id="411687603" name="Resim 1" descr="yazı tipi, logo,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687603" name="Resim 1" descr="yazı tipi, logo, tasarım içeren bir resim&#10;&#10;Açıklama otomatik olarak oluşturuldu"/>
                        <pic:cNvPicPr/>
                      </pic:nvPicPr>
                      <pic:blipFill>
                        <a:blip r:embed="rId1"/>
                        <a:stretch>
                          <a:fillRect/>
                        </a:stretch>
                      </pic:blipFill>
                      <pic:spPr>
                        <a:xfrm>
                          <a:off x="0" y="0"/>
                          <a:ext cx="1676371" cy="892014"/>
                        </a:xfrm>
                        <a:prstGeom prst="rect">
                          <a:avLst/>
                        </a:prstGeom>
                      </pic:spPr>
                    </pic:pic>
                  </a:graphicData>
                </a:graphic>
              </wp:inline>
            </w:drawing>
          </w:r>
        </w:p>
        <w:p w14:paraId="421BFAE1" w14:textId="77777777" w:rsidR="0037771B" w:rsidRDefault="0037771B" w:rsidP="0037771B">
          <w:pPr>
            <w:jc w:val="center"/>
            <w:rPr>
              <w:rFonts w:ascii="Times New Roman" w:hAnsi="Times New Roman" w:cs="Times New Roman"/>
              <w:color w:val="595959" w:themeColor="text1" w:themeTint="A6"/>
              <w:sz w:val="20"/>
              <w:lang w:val="en-US"/>
            </w:rPr>
          </w:pPr>
          <w:r w:rsidRPr="00944D00">
            <w:rPr>
              <w:rFonts w:ascii="Times New Roman" w:hAnsi="Times New Roman" w:cs="Times New Roman"/>
              <w:color w:val="595959" w:themeColor="text1" w:themeTint="A6"/>
              <w:sz w:val="20"/>
              <w:lang w:val="en-US"/>
            </w:rPr>
            <w:t>AS</w:t>
          </w:r>
          <w:r>
            <w:rPr>
              <w:rFonts w:ascii="Times New Roman" w:hAnsi="Times New Roman" w:cs="Times New Roman"/>
              <w:color w:val="595959" w:themeColor="text1" w:themeTint="A6"/>
              <w:sz w:val="20"/>
              <w:lang w:val="en-US"/>
            </w:rPr>
            <w:t>-</w:t>
          </w:r>
          <w:r w:rsidRPr="00944D00">
            <w:rPr>
              <w:rFonts w:ascii="Times New Roman" w:hAnsi="Times New Roman" w:cs="Times New Roman"/>
              <w:color w:val="595959" w:themeColor="text1" w:themeTint="A6"/>
              <w:sz w:val="20"/>
              <w:lang w:val="en-US"/>
            </w:rPr>
            <w:t>Proceedings</w:t>
          </w:r>
        </w:p>
        <w:p w14:paraId="46746394" w14:textId="77777777" w:rsidR="0037771B" w:rsidRPr="00356D39" w:rsidRDefault="00000000" w:rsidP="0037771B">
          <w:pPr>
            <w:pStyle w:val="stBilgi"/>
            <w:jc w:val="center"/>
            <w:rPr>
              <w:rFonts w:ascii="Times New Roman" w:hAnsi="Times New Roman" w:cs="Times New Roman"/>
              <w:i/>
              <w:color w:val="595959" w:themeColor="text1" w:themeTint="A6"/>
              <w:sz w:val="18"/>
              <w:lang w:val="en-US"/>
            </w:rPr>
          </w:pPr>
          <w:hyperlink r:id="rId2" w:history="1">
            <w:r w:rsidR="0037771B" w:rsidRPr="00944D00">
              <w:rPr>
                <w:rStyle w:val="Kpr"/>
                <w:rFonts w:ascii="Times New Roman" w:hAnsi="Times New Roman" w:cs="Times New Roman"/>
                <w:i/>
                <w:iCs/>
                <w:sz w:val="18"/>
                <w:szCs w:val="18"/>
              </w:rPr>
              <w:t>https://alls-academy.com/index.php</w:t>
            </w:r>
          </w:hyperlink>
        </w:p>
      </w:tc>
      <w:tc>
        <w:tcPr>
          <w:tcW w:w="5381" w:type="dxa"/>
          <w:tcBorders>
            <w:top w:val="single" w:sz="4" w:space="0" w:color="auto"/>
            <w:bottom w:val="single" w:sz="4" w:space="0" w:color="auto"/>
          </w:tcBorders>
          <w:vAlign w:val="center"/>
        </w:tcPr>
        <w:p w14:paraId="7A1CF66F" w14:textId="77777777" w:rsidR="0037771B" w:rsidRPr="00634EFE" w:rsidRDefault="0037771B" w:rsidP="0037771B">
          <w:pPr>
            <w:jc w:val="center"/>
            <w:rPr>
              <w:rFonts w:ascii="Times New Roman" w:hAnsi="Times New Roman" w:cs="Times New Roman"/>
              <w:i/>
              <w:sz w:val="28"/>
              <w:lang w:val="en-US"/>
            </w:rPr>
          </w:pPr>
          <w:r>
            <w:rPr>
              <w:rFonts w:ascii="Times New Roman" w:hAnsi="Times New Roman" w:cs="Times New Roman"/>
              <w:i/>
              <w:sz w:val="28"/>
              <w:lang w:val="en-US"/>
            </w:rPr>
            <w:t>3</w:t>
          </w:r>
          <w:r w:rsidRPr="005A4153">
            <w:rPr>
              <w:rFonts w:ascii="Times New Roman" w:hAnsi="Times New Roman" w:cs="Times New Roman"/>
              <w:i/>
              <w:sz w:val="28"/>
              <w:vertAlign w:val="superscript"/>
              <w:lang w:val="en-US"/>
            </w:rPr>
            <w:t>rd</w:t>
          </w:r>
          <w:r>
            <w:rPr>
              <w:rFonts w:ascii="Times New Roman" w:hAnsi="Times New Roman" w:cs="Times New Roman"/>
              <w:i/>
              <w:sz w:val="28"/>
              <w:lang w:val="en-US"/>
            </w:rPr>
            <w:t xml:space="preserve"> </w:t>
          </w:r>
          <w:r w:rsidRPr="00AC3D39">
            <w:rPr>
              <w:rFonts w:ascii="Times New Roman" w:hAnsi="Times New Roman" w:cs="Times New Roman"/>
              <w:i/>
              <w:sz w:val="28"/>
              <w:lang w:val="en-US"/>
            </w:rPr>
            <w:t>International Conference on Scientific and Academic Research</w:t>
          </w:r>
        </w:p>
        <w:p w14:paraId="44270014" w14:textId="77777777" w:rsidR="0037771B" w:rsidRPr="00634EFE" w:rsidRDefault="0037771B" w:rsidP="0037771B">
          <w:pPr>
            <w:jc w:val="center"/>
            <w:rPr>
              <w:rFonts w:ascii="Times New Roman" w:hAnsi="Times New Roman" w:cs="Times New Roman"/>
              <w:i/>
              <w:color w:val="767171" w:themeColor="background2" w:themeShade="80"/>
              <w:sz w:val="10"/>
              <w:lang w:val="en-US"/>
            </w:rPr>
          </w:pPr>
        </w:p>
        <w:p w14:paraId="273ACD91" w14:textId="77777777" w:rsidR="0037771B" w:rsidRPr="00372914" w:rsidRDefault="0037771B" w:rsidP="0037771B">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December 25-26, 2023 : Konya, </w:t>
          </w:r>
          <w:r w:rsidRPr="007D5272">
            <w:rPr>
              <w:rFonts w:ascii="Times New Roman" w:hAnsi="Times New Roman" w:cs="Times New Roman"/>
              <w:i/>
              <w:color w:val="767171" w:themeColor="background2" w:themeShade="80"/>
              <w:sz w:val="16"/>
              <w:lang w:val="en-US"/>
            </w:rPr>
            <w:t>Turkey</w:t>
          </w:r>
        </w:p>
        <w:p w14:paraId="15ED0666" w14:textId="77777777" w:rsidR="0037771B" w:rsidRDefault="0037771B" w:rsidP="0037771B">
          <w:pPr>
            <w:pStyle w:val="stBilgi"/>
            <w:jc w:val="center"/>
            <w:rPr>
              <w:sz w:val="10"/>
            </w:rPr>
          </w:pPr>
        </w:p>
      </w:tc>
      <w:tc>
        <w:tcPr>
          <w:tcW w:w="2100" w:type="dxa"/>
          <w:vMerge w:val="restart"/>
          <w:tcBorders>
            <w:top w:val="single" w:sz="4" w:space="0" w:color="auto"/>
          </w:tcBorders>
          <w:vAlign w:val="center"/>
        </w:tcPr>
        <w:p w14:paraId="411B3EE9" w14:textId="77777777" w:rsidR="0037771B" w:rsidRDefault="0037771B" w:rsidP="0037771B">
          <w:pPr>
            <w:pStyle w:val="stBilgi"/>
            <w:jc w:val="center"/>
            <w:rPr>
              <w:rFonts w:ascii="Times New Roman" w:hAnsi="Times New Roman" w:cs="Times New Roman"/>
              <w:sz w:val="18"/>
            </w:rPr>
          </w:pPr>
          <w:r w:rsidRPr="00AC3D39">
            <w:rPr>
              <w:rFonts w:ascii="Times New Roman" w:hAnsi="Times New Roman" w:cs="Times New Roman"/>
              <w:noProof/>
              <w:sz w:val="18"/>
              <w:lang w:eastAsia="tr-TR"/>
            </w:rPr>
            <w:drawing>
              <wp:inline distT="0" distB="0" distL="0" distR="0" wp14:anchorId="234A8449" wp14:editId="7CC1B690">
                <wp:extent cx="1158240" cy="1051560"/>
                <wp:effectExtent l="0" t="0" r="3810" b="0"/>
                <wp:docPr id="1" name="Resim 1" descr="D:\konferanslar\tamamlanan konferanslar\ICSA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tamamlanan konferanslar\ICSAR\log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58240" cy="1051560"/>
                        </a:xfrm>
                        <a:prstGeom prst="rect">
                          <a:avLst/>
                        </a:prstGeom>
                        <a:noFill/>
                        <a:ln>
                          <a:noFill/>
                        </a:ln>
                      </pic:spPr>
                    </pic:pic>
                  </a:graphicData>
                </a:graphic>
              </wp:inline>
            </w:drawing>
          </w:r>
        </w:p>
        <w:p w14:paraId="4D4951E7" w14:textId="77777777" w:rsidR="0037771B" w:rsidRPr="005A4153" w:rsidRDefault="00000000" w:rsidP="0037771B">
          <w:pPr>
            <w:pStyle w:val="stBilgi"/>
            <w:jc w:val="center"/>
            <w:rPr>
              <w:rFonts w:ascii="Times New Roman" w:hAnsi="Times New Roman" w:cs="Times New Roman"/>
              <w:i/>
              <w:iCs/>
              <w:sz w:val="18"/>
            </w:rPr>
          </w:pPr>
          <w:hyperlink r:id="rId4" w:history="1">
            <w:r w:rsidR="0037771B" w:rsidRPr="005A4153">
              <w:rPr>
                <w:rStyle w:val="Kpr"/>
                <w:rFonts w:ascii="Times New Roman" w:hAnsi="Times New Roman" w:cs="Times New Roman"/>
                <w:i/>
                <w:iCs/>
                <w:sz w:val="18"/>
              </w:rPr>
              <w:t>https://www.icsarconf.com/</w:t>
            </w:r>
          </w:hyperlink>
        </w:p>
      </w:tc>
    </w:tr>
    <w:tr w:rsidR="0037771B" w14:paraId="58BCD98A" w14:textId="77777777" w:rsidTr="00B553B8">
      <w:trPr>
        <w:trHeight w:val="691"/>
      </w:trPr>
      <w:tc>
        <w:tcPr>
          <w:tcW w:w="2940" w:type="dxa"/>
          <w:vMerge/>
          <w:tcBorders>
            <w:bottom w:val="single" w:sz="4" w:space="0" w:color="auto"/>
          </w:tcBorders>
        </w:tcPr>
        <w:p w14:paraId="441C8769" w14:textId="77777777" w:rsidR="0037771B" w:rsidRDefault="0037771B" w:rsidP="0037771B">
          <w:pPr>
            <w:pStyle w:val="stBilgi"/>
            <w:jc w:val="center"/>
            <w:rPr>
              <w:rFonts w:ascii="Times New Roman" w:hAnsi="Times New Roman" w:cs="Times New Roman"/>
              <w:b/>
              <w:noProof/>
              <w:lang w:eastAsia="tr-TR"/>
            </w:rPr>
          </w:pPr>
        </w:p>
      </w:tc>
      <w:tc>
        <w:tcPr>
          <w:tcW w:w="5381" w:type="dxa"/>
          <w:tcBorders>
            <w:top w:val="single" w:sz="4" w:space="0" w:color="auto"/>
            <w:bottom w:val="single" w:sz="4" w:space="0" w:color="auto"/>
          </w:tcBorders>
          <w:vAlign w:val="center"/>
        </w:tcPr>
        <w:p w14:paraId="15839419" w14:textId="77777777" w:rsidR="0037771B" w:rsidRPr="00CB2382" w:rsidRDefault="0037771B" w:rsidP="0037771B">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23</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AS-Proceedings</w:t>
          </w:r>
        </w:p>
      </w:tc>
      <w:tc>
        <w:tcPr>
          <w:tcW w:w="2100" w:type="dxa"/>
          <w:vMerge/>
          <w:tcBorders>
            <w:bottom w:val="single" w:sz="4" w:space="0" w:color="auto"/>
          </w:tcBorders>
        </w:tcPr>
        <w:p w14:paraId="73D54B76" w14:textId="77777777" w:rsidR="0037771B" w:rsidRPr="00634EFE" w:rsidRDefault="0037771B" w:rsidP="0037771B">
          <w:pPr>
            <w:pStyle w:val="stBilgi"/>
            <w:jc w:val="center"/>
            <w:rPr>
              <w:color w:val="BFBFBF" w:themeColor="background1" w:themeShade="BF"/>
              <w:sz w:val="40"/>
              <w:szCs w:val="40"/>
            </w:rPr>
          </w:pPr>
        </w:p>
      </w:tc>
    </w:tr>
    <w:bookmarkEnd w:id="0"/>
  </w:tbl>
  <w:p w14:paraId="43E118DE" w14:textId="77777777" w:rsidR="00E547B8" w:rsidRPr="00C327B7" w:rsidRDefault="00E547B8" w:rsidP="00AC3D39">
    <w:pPr>
      <w:pStyle w:val="stBilgi"/>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5344" w14:textId="77777777" w:rsidR="00616F06" w:rsidRPr="00616F06" w:rsidRDefault="00616F06" w:rsidP="00616F0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781921203">
    <w:abstractNumId w:val="0"/>
  </w:num>
  <w:num w:numId="2" w16cid:durableId="1925411161">
    <w:abstractNumId w:val="4"/>
  </w:num>
  <w:num w:numId="3" w16cid:durableId="1380396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4889813">
    <w:abstractNumId w:val="3"/>
  </w:num>
  <w:num w:numId="5" w16cid:durableId="143353544">
    <w:abstractNumId w:val="2"/>
  </w:num>
  <w:num w:numId="6" w16cid:durableId="1162084984">
    <w:abstractNumId w:val="5"/>
  </w:num>
  <w:num w:numId="7" w16cid:durableId="456416114">
    <w:abstractNumId w:val="1"/>
  </w:num>
  <w:num w:numId="8" w16cid:durableId="95028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733C7"/>
    <w:rsid w:val="000C21CF"/>
    <w:rsid w:val="000C3D46"/>
    <w:rsid w:val="001450D1"/>
    <w:rsid w:val="001A095E"/>
    <w:rsid w:val="001B433D"/>
    <w:rsid w:val="00212D0B"/>
    <w:rsid w:val="00231378"/>
    <w:rsid w:val="0026288C"/>
    <w:rsid w:val="00286E5C"/>
    <w:rsid w:val="003254E8"/>
    <w:rsid w:val="0037771B"/>
    <w:rsid w:val="003A21AF"/>
    <w:rsid w:val="003C1152"/>
    <w:rsid w:val="004146BB"/>
    <w:rsid w:val="00463E96"/>
    <w:rsid w:val="004C090F"/>
    <w:rsid w:val="004E4629"/>
    <w:rsid w:val="00590211"/>
    <w:rsid w:val="00616F06"/>
    <w:rsid w:val="00630349"/>
    <w:rsid w:val="00724D79"/>
    <w:rsid w:val="00773B39"/>
    <w:rsid w:val="00790179"/>
    <w:rsid w:val="007A1008"/>
    <w:rsid w:val="007A41F8"/>
    <w:rsid w:val="007F7949"/>
    <w:rsid w:val="008655FA"/>
    <w:rsid w:val="00882297"/>
    <w:rsid w:val="008D1C18"/>
    <w:rsid w:val="00906B72"/>
    <w:rsid w:val="009260DF"/>
    <w:rsid w:val="009509DE"/>
    <w:rsid w:val="00956F11"/>
    <w:rsid w:val="009763B7"/>
    <w:rsid w:val="009A38FD"/>
    <w:rsid w:val="009A6C9E"/>
    <w:rsid w:val="009D7960"/>
    <w:rsid w:val="009F154B"/>
    <w:rsid w:val="00A443BC"/>
    <w:rsid w:val="00A60AFC"/>
    <w:rsid w:val="00A978C2"/>
    <w:rsid w:val="00AC3D39"/>
    <w:rsid w:val="00B757B4"/>
    <w:rsid w:val="00B80B2C"/>
    <w:rsid w:val="00B91A01"/>
    <w:rsid w:val="00C327B7"/>
    <w:rsid w:val="00C66488"/>
    <w:rsid w:val="00D23B12"/>
    <w:rsid w:val="00D311EE"/>
    <w:rsid w:val="00DA1C6B"/>
    <w:rsid w:val="00DD272F"/>
    <w:rsid w:val="00E03D4C"/>
    <w:rsid w:val="00E0542D"/>
    <w:rsid w:val="00E547B8"/>
    <w:rsid w:val="00E71235"/>
    <w:rsid w:val="00F2428A"/>
    <w:rsid w:val="00F44C4A"/>
    <w:rsid w:val="00FC2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FB546"/>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s://alls-academy.com/index.php" TargetMode="External"/><Relationship Id="rId1" Type="http://schemas.openxmlformats.org/officeDocument/2006/relationships/image" Target="media/image1.png"/><Relationship Id="rId4" Type="http://schemas.openxmlformats.org/officeDocument/2006/relationships/hyperlink" Target="https://www.icsarconf.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TuRGuT</dc:creator>
  <cp:lastModifiedBy>umut özkaya</cp:lastModifiedBy>
  <cp:revision>19</cp:revision>
  <dcterms:created xsi:type="dcterms:W3CDTF">2020-02-20T11:01:00Z</dcterms:created>
  <dcterms:modified xsi:type="dcterms:W3CDTF">2023-12-07T13:04:00Z</dcterms:modified>
</cp:coreProperties>
</file>